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B21EC5" w14:textId="4FF9F7C9" w:rsidR="00650D46" w:rsidRDefault="00000000">
      <w:pPr>
        <w:adjustRightInd w:val="0"/>
        <w:snapToGrid w:val="0"/>
        <w:spacing w:afterLines="50" w:after="156" w:line="288" w:lineRule="auto"/>
        <w:rPr>
          <w:rFonts w:ascii="Times New Roman" w:hAnsi="Times New Roman"/>
          <w:b/>
          <w:bCs/>
          <w:szCs w:val="21"/>
        </w:rPr>
      </w:pPr>
      <w:r>
        <w:rPr>
          <w:rFonts w:ascii="Times New Roman" w:hAnsi="Times New Roman"/>
          <w:b/>
          <w:bCs/>
          <w:szCs w:val="21"/>
        </w:rPr>
        <w:t>Supplementary material</w:t>
      </w:r>
    </w:p>
    <w:p w14:paraId="4E536865" w14:textId="77777777" w:rsidR="00650D46" w:rsidRDefault="00000000">
      <w:pPr>
        <w:adjustRightInd w:val="0"/>
        <w:snapToGrid w:val="0"/>
        <w:spacing w:line="360" w:lineRule="auto"/>
        <w:rPr>
          <w:rFonts w:ascii="Times New Roman" w:hAnsi="Times New Roman"/>
          <w:b/>
          <w:bCs/>
          <w:szCs w:val="21"/>
        </w:rPr>
      </w:pPr>
      <w:r>
        <w:rPr>
          <w:rFonts w:ascii="Times New Roman" w:hAnsi="Times New Roman" w:hint="eastAsia"/>
          <w:b/>
          <w:bCs/>
          <w:szCs w:val="21"/>
        </w:rPr>
        <w:t>1. Flow cytometry</w:t>
      </w:r>
    </w:p>
    <w:p w14:paraId="70D8DC0E" w14:textId="77777777" w:rsidR="00650D46" w:rsidRDefault="00000000">
      <w:pPr>
        <w:adjustRightInd w:val="0"/>
        <w:snapToGrid w:val="0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32"/>
        </w:rPr>
        <w:t>Bone marrow-derived macrophages (</w:t>
      </w:r>
      <w:r>
        <w:rPr>
          <w:rFonts w:ascii="Times New Roman" w:hAnsi="Times New Roman"/>
          <w:bCs/>
          <w:iCs/>
          <w:szCs w:val="22"/>
        </w:rPr>
        <w:t>BMDMs) and L929 cells were collected and resuspended in PBS containing 1% BSA. Cells were then incubated with APC-conjugated anti-CD11b antibody at 4°C for 30 minutes in the dark, followed by centrifugation and removal of the supernatant. The cells were washed twice with PBS containing 1% BSA and subsequently analyzed by flow cytometry.</w:t>
      </w:r>
    </w:p>
    <w:p w14:paraId="4A7EFE78" w14:textId="77777777" w:rsidR="00650D46" w:rsidRDefault="00000000">
      <w:pPr>
        <w:adjustRightInd w:val="0"/>
        <w:snapToGrid w:val="0"/>
        <w:spacing w:beforeLines="50" w:before="156" w:line="360" w:lineRule="auto"/>
        <w:rPr>
          <w:rFonts w:ascii="Times New Roman" w:hAnsi="Times New Roman"/>
          <w:szCs w:val="21"/>
        </w:rPr>
      </w:pPr>
      <w:r>
        <w:rPr>
          <w:rFonts w:ascii="Times New Roman" w:hAnsi="Times New Roman" w:hint="eastAsia"/>
          <w:b/>
          <w:bCs/>
          <w:szCs w:val="21"/>
        </w:rPr>
        <w:t>2. M</w:t>
      </w:r>
      <w:r>
        <w:rPr>
          <w:rFonts w:ascii="Times New Roman" w:hAnsi="Times New Roman"/>
          <w:b/>
          <w:bCs/>
          <w:szCs w:val="21"/>
        </w:rPr>
        <w:t>ycoplasma testing</w:t>
      </w:r>
    </w:p>
    <w:p w14:paraId="04F52554" w14:textId="77777777" w:rsidR="00650D46" w:rsidRDefault="00000000">
      <w:pPr>
        <w:adjustRightInd w:val="0"/>
        <w:snapToGrid w:val="0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hAnsi="Times New Roman" w:hint="eastAsia"/>
          <w:szCs w:val="21"/>
        </w:rPr>
        <w:t>After culturing</w:t>
      </w:r>
      <w:r>
        <w:rPr>
          <w:rFonts w:ascii="Times New Roman" w:hAnsi="Times New Roman"/>
          <w:szCs w:val="21"/>
        </w:rPr>
        <w:t xml:space="preserve"> BMDMs</w:t>
      </w:r>
      <w:r>
        <w:rPr>
          <w:rFonts w:ascii="Times New Roman" w:hAnsi="Times New Roman" w:hint="eastAsia"/>
          <w:szCs w:val="21"/>
        </w:rPr>
        <w:t xml:space="preserve"> for 3</w:t>
      </w:r>
      <w:r>
        <w:rPr>
          <w:rFonts w:ascii="Times New Roman" w:hAnsi="Times New Roman"/>
          <w:szCs w:val="21"/>
        </w:rPr>
        <w:t xml:space="preserve"> </w:t>
      </w:r>
      <w:r>
        <w:rPr>
          <w:rFonts w:ascii="Times New Roman" w:hAnsi="Times New Roman" w:hint="eastAsia"/>
          <w:szCs w:val="21"/>
        </w:rPr>
        <w:t xml:space="preserve">days, the </w:t>
      </w:r>
      <w:r>
        <w:rPr>
          <w:rFonts w:ascii="Times New Roman" w:hAnsi="Times New Roman"/>
          <w:szCs w:val="21"/>
        </w:rPr>
        <w:t>culture</w:t>
      </w:r>
      <w:r>
        <w:rPr>
          <w:rFonts w:ascii="Times New Roman" w:hAnsi="Times New Roman" w:hint="eastAsia"/>
          <w:szCs w:val="21"/>
        </w:rPr>
        <w:t xml:space="preserve"> supernatant</w:t>
      </w:r>
      <w:r>
        <w:rPr>
          <w:rFonts w:ascii="Times New Roman" w:hAnsi="Times New Roman"/>
          <w:szCs w:val="21"/>
        </w:rPr>
        <w:t xml:space="preserve"> was collected</w:t>
      </w:r>
      <w:r>
        <w:rPr>
          <w:rFonts w:ascii="Times New Roman" w:hAnsi="Times New Roman" w:hint="eastAsia"/>
          <w:szCs w:val="21"/>
        </w:rPr>
        <w:t>.</w:t>
      </w:r>
      <w:r>
        <w:rPr>
          <w:rFonts w:ascii="Times New Roman" w:hAnsi="Times New Roman"/>
          <w:szCs w:val="21"/>
        </w:rPr>
        <w:t xml:space="preserve"> Mycoplasma </w:t>
      </w:r>
      <w:r>
        <w:rPr>
          <w:rFonts w:ascii="Times New Roman" w:hAnsi="Times New Roman" w:hint="eastAsia"/>
          <w:szCs w:val="21"/>
        </w:rPr>
        <w:t xml:space="preserve">was detected </w:t>
      </w:r>
      <w:r>
        <w:rPr>
          <w:rFonts w:ascii="Times New Roman" w:hAnsi="Times New Roman"/>
          <w:szCs w:val="21"/>
        </w:rPr>
        <w:t>using a mycoplasma detection kit (</w:t>
      </w:r>
      <w:proofErr w:type="spellStart"/>
      <w:r>
        <w:rPr>
          <w:rFonts w:ascii="Times New Roman" w:hAnsi="Times New Roman"/>
          <w:szCs w:val="21"/>
        </w:rPr>
        <w:t>EallBio</w:t>
      </w:r>
      <w:proofErr w:type="spellEnd"/>
      <w:r>
        <w:rPr>
          <w:rFonts w:ascii="Times New Roman" w:hAnsi="Times New Roman"/>
          <w:szCs w:val="21"/>
        </w:rPr>
        <w:t>, 03.17012) according to the manufacturer’s instructions</w:t>
      </w:r>
      <w:r>
        <w:rPr>
          <w:rFonts w:ascii="Times New Roman" w:hAnsi="Times New Roman" w:hint="eastAsia"/>
          <w:szCs w:val="21"/>
        </w:rPr>
        <w:t>, which included</w:t>
      </w:r>
      <w:r>
        <w:rPr>
          <w:rFonts w:ascii="Times New Roman" w:hAnsi="Times New Roman"/>
          <w:szCs w:val="21"/>
        </w:rPr>
        <w:t xml:space="preserve"> PCR </w:t>
      </w:r>
      <w:r>
        <w:rPr>
          <w:rFonts w:ascii="Times New Roman" w:hAnsi="Times New Roman" w:hint="eastAsia"/>
          <w:szCs w:val="21"/>
        </w:rPr>
        <w:t>amplification followed by</w:t>
      </w:r>
      <w:r>
        <w:rPr>
          <w:rFonts w:ascii="Times New Roman" w:hAnsi="Times New Roman"/>
          <w:szCs w:val="21"/>
        </w:rPr>
        <w:t xml:space="preserve"> DNA gel electrophoresis</w:t>
      </w:r>
      <w:r>
        <w:rPr>
          <w:rFonts w:ascii="Times New Roman" w:hAnsi="Times New Roman" w:hint="eastAsia"/>
          <w:szCs w:val="21"/>
        </w:rPr>
        <w:t xml:space="preserve">. </w:t>
      </w:r>
      <w:r>
        <w:rPr>
          <w:rFonts w:ascii="Times New Roman" w:hAnsi="Times New Roman"/>
          <w:szCs w:val="21"/>
        </w:rPr>
        <w:t>Mycoplasma contamination in the samples was determined by comparison with positive and negative controls. The expected size of the positive band was approximately 300</w:t>
      </w:r>
      <w:r>
        <w:rPr>
          <w:rFonts w:ascii="Times New Roman" w:hAnsi="Times New Roman" w:hint="eastAsia"/>
          <w:szCs w:val="21"/>
        </w:rPr>
        <w:t>-</w:t>
      </w:r>
      <w:r>
        <w:rPr>
          <w:rFonts w:ascii="Times New Roman" w:hAnsi="Times New Roman"/>
          <w:szCs w:val="21"/>
        </w:rPr>
        <w:t>750 bp.</w:t>
      </w:r>
    </w:p>
    <w:p w14:paraId="4BA5B1ED" w14:textId="77777777" w:rsidR="00650D46" w:rsidRDefault="00650D46">
      <w:pPr>
        <w:adjustRightInd w:val="0"/>
        <w:snapToGrid w:val="0"/>
        <w:spacing w:line="288" w:lineRule="auto"/>
        <w:rPr>
          <w:rFonts w:ascii="Times New Roman" w:hAnsi="Times New Roman"/>
          <w:szCs w:val="21"/>
        </w:rPr>
      </w:pPr>
    </w:p>
    <w:p w14:paraId="2EA7A398" w14:textId="77777777" w:rsidR="00650D46" w:rsidRDefault="00650D46">
      <w:pPr>
        <w:adjustRightInd w:val="0"/>
        <w:snapToGrid w:val="0"/>
        <w:spacing w:line="288" w:lineRule="auto"/>
        <w:rPr>
          <w:rFonts w:ascii="Times New Roman" w:hAnsi="Times New Roman"/>
          <w:szCs w:val="21"/>
        </w:rPr>
      </w:pPr>
    </w:p>
    <w:p w14:paraId="703BD788" w14:textId="77777777" w:rsidR="00650D46" w:rsidRDefault="00000000">
      <w:pPr>
        <w:adjustRightInd w:val="0"/>
        <w:snapToGrid w:val="0"/>
        <w:spacing w:beforeLines="50" w:before="156" w:line="288" w:lineRule="auto"/>
        <w:rPr>
          <w:rFonts w:ascii="Times New Roman" w:hAnsi="Times New Roman"/>
          <w:b/>
          <w:bCs/>
          <w:szCs w:val="21"/>
        </w:rPr>
      </w:pPr>
      <w:r>
        <w:rPr>
          <w:rFonts w:ascii="Times New Roman" w:hAnsi="Times New Roman"/>
          <w:b/>
          <w:bCs/>
          <w:szCs w:val="21"/>
        </w:rPr>
        <w:t>Supplementary Figure</w:t>
      </w:r>
      <w:r>
        <w:rPr>
          <w:rFonts w:ascii="Times New Roman" w:hAnsi="Times New Roman" w:hint="eastAsia"/>
          <w:b/>
          <w:bCs/>
          <w:szCs w:val="21"/>
        </w:rPr>
        <w:t>s</w:t>
      </w:r>
    </w:p>
    <w:p w14:paraId="42C86A07" w14:textId="77777777" w:rsidR="00650D46" w:rsidRDefault="00000000">
      <w:pPr>
        <w:adjustRightInd w:val="0"/>
        <w:snapToGrid w:val="0"/>
        <w:spacing w:line="288" w:lineRule="auto"/>
        <w:rPr>
          <w:rFonts w:ascii="Times New Roman" w:hAnsi="Times New Roman"/>
          <w:b/>
          <w:bCs/>
          <w:szCs w:val="21"/>
        </w:rPr>
      </w:pPr>
      <w:r>
        <w:rPr>
          <w:rFonts w:ascii="Times New Roman" w:hAnsi="Times New Roman" w:hint="eastAsia"/>
          <w:noProof/>
          <w:color w:val="0000FF"/>
          <w:sz w:val="24"/>
          <w:shd w:val="clear" w:color="auto" w:fill="FFFFFF"/>
        </w:rPr>
        <w:drawing>
          <wp:inline distT="0" distB="0" distL="114300" distR="114300" wp14:anchorId="69207AD2" wp14:editId="1E14C7DF">
            <wp:extent cx="5101590" cy="3140710"/>
            <wp:effectExtent l="0" t="0" r="3810" b="8890"/>
            <wp:docPr id="2" name="图片 2" descr="2026-5-6 HWC第二十五版 附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6-5-6 HWC第二十五版 附图"/>
                    <pic:cNvPicPr>
                      <a:picLocks noChangeAspect="1"/>
                    </pic:cNvPicPr>
                  </pic:nvPicPr>
                  <pic:blipFill>
                    <a:blip r:embed="rId7"/>
                    <a:srcRect l="2326" t="3328" r="1796" b="1954"/>
                    <a:stretch>
                      <a:fillRect/>
                    </a:stretch>
                  </pic:blipFill>
                  <pic:spPr>
                    <a:xfrm>
                      <a:off x="0" y="0"/>
                      <a:ext cx="5101590" cy="314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85E7E" w14:textId="77777777" w:rsidR="00650D46" w:rsidRDefault="00000000">
      <w:pPr>
        <w:adjustRightInd w:val="0"/>
        <w:snapToGrid w:val="0"/>
        <w:spacing w:line="288" w:lineRule="auto"/>
        <w:rPr>
          <w:rFonts w:ascii="Times New Roman" w:hAnsi="Times New Roman"/>
          <w:b/>
          <w:bCs/>
          <w:szCs w:val="21"/>
        </w:rPr>
      </w:pPr>
      <w:r>
        <w:rPr>
          <w:rFonts w:ascii="Times New Roman" w:hAnsi="Times New Roman"/>
          <w:b/>
          <w:bCs/>
          <w:szCs w:val="21"/>
        </w:rPr>
        <w:t>Supplementary</w:t>
      </w:r>
      <w:r>
        <w:rPr>
          <w:rFonts w:ascii="Times New Roman" w:hAnsi="Times New Roman" w:hint="eastAsia"/>
          <w:b/>
          <w:bCs/>
          <w:szCs w:val="21"/>
        </w:rPr>
        <w:t xml:space="preserve"> </w:t>
      </w:r>
      <w:r>
        <w:rPr>
          <w:rFonts w:ascii="Times New Roman" w:hAnsi="Times New Roman"/>
          <w:b/>
          <w:bCs/>
          <w:szCs w:val="21"/>
        </w:rPr>
        <w:t>Fig.</w:t>
      </w:r>
      <w:r>
        <w:rPr>
          <w:rFonts w:ascii="Times New Roman" w:hAnsi="Times New Roman" w:hint="eastAsia"/>
          <w:b/>
          <w:bCs/>
          <w:szCs w:val="21"/>
        </w:rPr>
        <w:t xml:space="preserve"> </w:t>
      </w:r>
      <w:r>
        <w:rPr>
          <w:rFonts w:ascii="Times New Roman" w:hAnsi="Times New Roman"/>
          <w:b/>
          <w:bCs/>
          <w:szCs w:val="21"/>
        </w:rPr>
        <w:t>1. Flow cytometry and mycoplasma testing in BMDMs</w:t>
      </w:r>
      <w:r>
        <w:rPr>
          <w:rFonts w:ascii="Times New Roman" w:hAnsi="Times New Roman" w:hint="eastAsia"/>
          <w:b/>
          <w:bCs/>
          <w:szCs w:val="21"/>
        </w:rPr>
        <w:t>.</w:t>
      </w:r>
    </w:p>
    <w:p w14:paraId="796DDA57" w14:textId="77777777" w:rsidR="00650D46" w:rsidRDefault="00000000">
      <w:pPr>
        <w:autoSpaceDE w:val="0"/>
        <w:spacing w:line="360" w:lineRule="auto"/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  <w:bCs/>
          <w:szCs w:val="21"/>
        </w:rPr>
        <w:t>(A) The identity of BMDMs was confirmed by flow cytometry detection of the surface marker CD11b. (B) L929 cells were used as the control to detect the surface marker CD11b</w:t>
      </w:r>
      <w:r>
        <w:rPr>
          <w:rFonts w:ascii="Times New Roman" w:hAnsi="Times New Roman" w:hint="eastAsia"/>
          <w:bCs/>
          <w:szCs w:val="21"/>
        </w:rPr>
        <w:t xml:space="preserve"> </w:t>
      </w:r>
      <w:r>
        <w:rPr>
          <w:rFonts w:ascii="Times New Roman" w:hAnsi="Times New Roman"/>
          <w:bCs/>
          <w:szCs w:val="21"/>
        </w:rPr>
        <w:t>via flow cytometry.</w:t>
      </w:r>
      <w:r>
        <w:rPr>
          <w:rFonts w:ascii="Times New Roman" w:hAnsi="Times New Roman" w:hint="eastAsia"/>
          <w:bCs/>
          <w:szCs w:val="21"/>
        </w:rPr>
        <w:t xml:space="preserve"> (C) </w:t>
      </w:r>
      <w:r>
        <w:rPr>
          <w:rFonts w:ascii="Times New Roman" w:hAnsi="Times New Roman"/>
          <w:bCs/>
          <w:szCs w:val="21"/>
        </w:rPr>
        <w:t>Mycoplasma detection was performed on culture medium</w:t>
      </w:r>
      <w:r>
        <w:rPr>
          <w:rFonts w:ascii="Times New Roman" w:hAnsi="Times New Roman" w:hint="eastAsia"/>
          <w:bCs/>
          <w:szCs w:val="21"/>
        </w:rPr>
        <w:t xml:space="preserve"> of </w:t>
      </w:r>
      <w:r>
        <w:rPr>
          <w:rFonts w:ascii="Times New Roman" w:hAnsi="Times New Roman"/>
          <w:bCs/>
          <w:szCs w:val="21"/>
        </w:rPr>
        <w:t>BMDM</w:t>
      </w:r>
      <w:r>
        <w:rPr>
          <w:rFonts w:ascii="Times New Roman" w:hAnsi="Times New Roman" w:hint="eastAsia"/>
          <w:bCs/>
          <w:szCs w:val="21"/>
        </w:rPr>
        <w:t>s</w:t>
      </w:r>
      <w:r>
        <w:rPr>
          <w:rFonts w:ascii="Times New Roman" w:hAnsi="Times New Roman"/>
          <w:bCs/>
          <w:szCs w:val="21"/>
        </w:rPr>
        <w:t xml:space="preserve"> by PCR‑based DNA electrophoresis.</w:t>
      </w:r>
      <w:r>
        <w:rPr>
          <w:rFonts w:ascii="Times New Roman" w:hAnsi="Times New Roman" w:hint="eastAsia"/>
          <w:bCs/>
          <w:szCs w:val="21"/>
        </w:rPr>
        <w:t xml:space="preserve"> Sample 1 and Sample 2 represent BMDMs culture </w:t>
      </w:r>
      <w:r>
        <w:rPr>
          <w:rFonts w:ascii="Times New Roman" w:hAnsi="Times New Roman"/>
          <w:bCs/>
          <w:szCs w:val="21"/>
        </w:rPr>
        <w:t>medium</w:t>
      </w:r>
      <w:r>
        <w:rPr>
          <w:rFonts w:ascii="Times New Roman" w:hAnsi="Times New Roman" w:hint="eastAsia"/>
          <w:bCs/>
          <w:szCs w:val="21"/>
        </w:rPr>
        <w:t xml:space="preserve"> obtained from two independent collections.</w:t>
      </w:r>
    </w:p>
    <w:p w14:paraId="065E4241" w14:textId="77777777" w:rsidR="00650D46" w:rsidRDefault="00650D46">
      <w:pPr>
        <w:adjustRightInd w:val="0"/>
        <w:snapToGrid w:val="0"/>
        <w:spacing w:line="288" w:lineRule="auto"/>
        <w:rPr>
          <w:rFonts w:ascii="Times New Roman" w:hAnsi="Times New Roman"/>
          <w:szCs w:val="21"/>
        </w:rPr>
      </w:pPr>
    </w:p>
    <w:sectPr w:rsidR="00650D46">
      <w:footerReference w:type="default" r:id="rId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2BD52C" w14:textId="77777777" w:rsidR="006D6495" w:rsidRDefault="006D6495">
      <w:r>
        <w:separator/>
      </w:r>
    </w:p>
  </w:endnote>
  <w:endnote w:type="continuationSeparator" w:id="0">
    <w:p w14:paraId="6EB990D3" w14:textId="77777777" w:rsidR="006D6495" w:rsidRDefault="006D64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2CB39B" w14:textId="77777777" w:rsidR="00650D46" w:rsidRDefault="00000000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C2332A3" wp14:editId="4D5A8E20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60B4595" w14:textId="77777777" w:rsidR="00650D46" w:rsidRDefault="00000000">
                          <w:pPr>
                            <w:pStyle w:val="a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2332A3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margin-left:92.8pt;margin-top:0;width:2in;height:2in;z-index:251659264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p w14:paraId="260B4595" w14:textId="77777777" w:rsidR="00650D46" w:rsidRDefault="00000000">
                    <w:pPr>
                      <w:pStyle w:val="a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BD9867" w14:textId="77777777" w:rsidR="006D6495" w:rsidRDefault="006D6495">
      <w:r>
        <w:separator/>
      </w:r>
    </w:p>
  </w:footnote>
  <w:footnote w:type="continuationSeparator" w:id="0">
    <w:p w14:paraId="593BBC25" w14:textId="77777777" w:rsidR="006D6495" w:rsidRDefault="006D649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defaultTabStop w:val="420"/>
  <w:drawingGridHorizontalSpacing w:val="105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52CCF"/>
    <w:rsid w:val="00301B37"/>
    <w:rsid w:val="00452CCF"/>
    <w:rsid w:val="00650D46"/>
    <w:rsid w:val="006536F8"/>
    <w:rsid w:val="006D6495"/>
    <w:rsid w:val="00783AB6"/>
    <w:rsid w:val="00CE2479"/>
    <w:rsid w:val="01997139"/>
    <w:rsid w:val="02A52356"/>
    <w:rsid w:val="0E6C0741"/>
    <w:rsid w:val="1163578C"/>
    <w:rsid w:val="124C506A"/>
    <w:rsid w:val="146D0E60"/>
    <w:rsid w:val="1DBF2583"/>
    <w:rsid w:val="24F85EAB"/>
    <w:rsid w:val="26B574D4"/>
    <w:rsid w:val="28BF2D3B"/>
    <w:rsid w:val="2D562704"/>
    <w:rsid w:val="2EC74708"/>
    <w:rsid w:val="30E3695B"/>
    <w:rsid w:val="35445EF3"/>
    <w:rsid w:val="3DE04277"/>
    <w:rsid w:val="4D15542F"/>
    <w:rsid w:val="518303B4"/>
    <w:rsid w:val="59414070"/>
    <w:rsid w:val="59483A3C"/>
    <w:rsid w:val="5AC3434D"/>
    <w:rsid w:val="5BCB4E51"/>
    <w:rsid w:val="65D26342"/>
    <w:rsid w:val="670D1D60"/>
    <w:rsid w:val="6B1967C5"/>
    <w:rsid w:val="6DC26EF3"/>
    <w:rsid w:val="6EDD4754"/>
    <w:rsid w:val="700970A2"/>
    <w:rsid w:val="708F038D"/>
    <w:rsid w:val="77345CEB"/>
    <w:rsid w:val="7C1E3B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400DBB8"/>
  <w15:docId w15:val="{CE9C55E3-54E7-4136-9C22-B1E781AF4C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line number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5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Strong"/>
    <w:basedOn w:val="a0"/>
    <w:qFormat/>
    <w:rPr>
      <w:b/>
    </w:rPr>
  </w:style>
  <w:style w:type="character" w:styleId="a7">
    <w:name w:val="line number"/>
    <w:basedOn w:val="a0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197</Words>
  <Characters>1164</Characters>
  <Application>Microsoft Office Word</Application>
  <DocSecurity>0</DocSecurity>
  <Lines>23</Lines>
  <Paragraphs>9</Paragraphs>
  <ScaleCrop>false</ScaleCrop>
  <Company/>
  <LinksUpToDate>false</LinksUpToDate>
  <CharactersWithSpaces>1352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Kyle</cp:lastModifiedBy>
  <cp:revision>3</cp:revision>
  <dcterms:created xsi:type="dcterms:W3CDTF">2024-12-18T03:58:00Z</dcterms:created>
  <dcterms:modified xsi:type="dcterms:W3CDTF">2026-07-20T07:26:00Z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C25216582F674C019B8FB508FFB6C53B_13</vt:lpwstr>
  </property>
  <property fmtid="{D5CDD505-2E9C-101B-9397-08002B2CF9AE}" pid="4" name="KSOTemplateDocerSaveRecord">
    <vt:lpwstr>eyJoZGlkIjoiZjMzYzcxNmFjOWU0MDU0NjVlZWM4NTczMTA1ZTYwMDYiLCJ1c2VySWQiOiI0MTU2NjkxNjgifQ==</vt:lpwstr>
  </property>
  <property fmtid="{D5CDD505-2E9C-101B-9397-08002B2CF9AE}" pid="5" name="GrammarlyDocumentId">
    <vt:lpwstr>ebca7567-1d04-4986-9dc5-eab4e79bfe2c</vt:lpwstr>
  </property>
</Properties>
</file>